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5B" w:rsidRPr="00AE1934" w:rsidRDefault="0037305B" w:rsidP="00695127">
      <w:pPr>
        <w:spacing w:after="0" w:line="240" w:lineRule="auto"/>
        <w:ind w:left="708" w:right="-720" w:hanging="708"/>
        <w:jc w:val="center"/>
        <w:rPr>
          <w:rFonts w:ascii="Arial Narrow" w:eastAsia="Calibri" w:hAnsi="Arial Narrow" w:cs="Arial"/>
          <w:b/>
          <w:bCs/>
          <w:sz w:val="24"/>
          <w:szCs w:val="24"/>
          <w:lang w:eastAsia="es-CO"/>
        </w:rPr>
      </w:pPr>
      <w:r w:rsidRPr="00AE1934">
        <w:rPr>
          <w:rFonts w:ascii="Arial Narrow" w:eastAsia="Calibri" w:hAnsi="Arial Narrow" w:cs="Arial"/>
          <w:b/>
          <w:bCs/>
          <w:sz w:val="24"/>
          <w:szCs w:val="24"/>
          <w:lang w:eastAsia="es-CO"/>
        </w:rPr>
        <w:t>REACTIV</w:t>
      </w:r>
      <w:r w:rsidR="00853B45" w:rsidRPr="00AE1934">
        <w:rPr>
          <w:rFonts w:ascii="Arial Narrow" w:eastAsia="Calibri" w:hAnsi="Arial Narrow" w:cs="Arial"/>
          <w:b/>
          <w:bCs/>
          <w:sz w:val="24"/>
          <w:szCs w:val="24"/>
          <w:lang w:eastAsia="es-CO"/>
        </w:rPr>
        <w:t xml:space="preserve">ACIÓN </w:t>
      </w:r>
      <w:r w:rsidR="00383F42" w:rsidRPr="00AE1934">
        <w:rPr>
          <w:rFonts w:ascii="Arial Narrow" w:eastAsia="Calibri" w:hAnsi="Arial Narrow" w:cs="Arial"/>
          <w:b/>
          <w:bCs/>
          <w:sz w:val="24"/>
          <w:szCs w:val="24"/>
          <w:lang w:eastAsia="es-CO"/>
        </w:rPr>
        <w:t>Y ADENDA</w:t>
      </w:r>
      <w:r w:rsidR="00B03A58">
        <w:rPr>
          <w:rFonts w:ascii="Arial Narrow" w:eastAsia="Calibri" w:hAnsi="Arial Narrow" w:cs="Arial"/>
          <w:b/>
          <w:bCs/>
          <w:sz w:val="24"/>
          <w:szCs w:val="24"/>
          <w:lang w:eastAsia="es-CO"/>
        </w:rPr>
        <w:t xml:space="preserve"> No 14</w:t>
      </w:r>
      <w:bookmarkStart w:id="0" w:name="_GoBack"/>
      <w:bookmarkEnd w:id="0"/>
      <w:r w:rsidR="00853B45" w:rsidRPr="00AE1934">
        <w:rPr>
          <w:rFonts w:ascii="Arial Narrow" w:eastAsia="Calibri" w:hAnsi="Arial Narrow" w:cs="Arial"/>
          <w:b/>
          <w:bCs/>
          <w:sz w:val="24"/>
          <w:szCs w:val="24"/>
          <w:lang w:eastAsia="es-CO"/>
        </w:rPr>
        <w:t>DE LA CONVOCATORIA No. 028</w:t>
      </w:r>
    </w:p>
    <w:p w:rsidR="00695127" w:rsidRPr="00AE1934" w:rsidRDefault="00695127" w:rsidP="00695127">
      <w:pPr>
        <w:spacing w:after="0" w:line="240" w:lineRule="auto"/>
        <w:ind w:left="708" w:right="-720" w:hanging="708"/>
        <w:jc w:val="center"/>
        <w:rPr>
          <w:rFonts w:ascii="Arial Narrow" w:eastAsia="Calibri" w:hAnsi="Arial Narrow" w:cs="Arial"/>
          <w:b/>
          <w:bCs/>
          <w:sz w:val="24"/>
          <w:szCs w:val="24"/>
          <w:lang w:eastAsia="es-CO"/>
        </w:rPr>
      </w:pPr>
    </w:p>
    <w:p w:rsidR="00695127" w:rsidRPr="00AE1934" w:rsidRDefault="0037305B" w:rsidP="00695127">
      <w:pPr>
        <w:spacing w:after="0" w:line="240" w:lineRule="auto"/>
        <w:ind w:left="708" w:right="-720" w:hanging="708"/>
        <w:jc w:val="center"/>
        <w:rPr>
          <w:rFonts w:ascii="Arial Narrow" w:eastAsia="Calibri" w:hAnsi="Arial Narrow" w:cs="Arial"/>
          <w:b/>
          <w:bCs/>
          <w:sz w:val="24"/>
          <w:szCs w:val="24"/>
          <w:lang w:eastAsia="es-CO"/>
        </w:rPr>
      </w:pPr>
      <w:r w:rsidRPr="00AE1934">
        <w:rPr>
          <w:rFonts w:ascii="Arial Narrow" w:eastAsia="Calibri" w:hAnsi="Arial Narrow" w:cs="Arial"/>
          <w:b/>
          <w:bCs/>
          <w:sz w:val="24"/>
          <w:szCs w:val="24"/>
          <w:lang w:eastAsia="es-CO"/>
        </w:rPr>
        <w:t xml:space="preserve">PROGRAMA DE VIVIENDA DE INTERÉS </w:t>
      </w:r>
    </w:p>
    <w:p w:rsidR="0037305B" w:rsidRPr="00AE1934" w:rsidRDefault="0037305B" w:rsidP="00695127">
      <w:pPr>
        <w:spacing w:after="0" w:line="240" w:lineRule="auto"/>
        <w:ind w:left="708" w:right="-720" w:hanging="708"/>
        <w:jc w:val="center"/>
        <w:rPr>
          <w:rFonts w:ascii="Arial Narrow" w:eastAsia="Calibri" w:hAnsi="Arial Narrow" w:cs="Arial"/>
          <w:b/>
          <w:bCs/>
          <w:sz w:val="24"/>
          <w:szCs w:val="24"/>
          <w:lang w:eastAsia="es-CO"/>
        </w:rPr>
      </w:pPr>
      <w:r w:rsidRPr="00AE1934">
        <w:rPr>
          <w:rFonts w:ascii="Arial Narrow" w:eastAsia="Calibri" w:hAnsi="Arial Narrow" w:cs="Arial"/>
          <w:b/>
          <w:bCs/>
          <w:sz w:val="24"/>
          <w:szCs w:val="24"/>
          <w:lang w:eastAsia="es-CO"/>
        </w:rPr>
        <w:t>PRIORITARIO PARA AHORADORES</w:t>
      </w:r>
    </w:p>
    <w:p w:rsidR="00695127" w:rsidRPr="00AE1934" w:rsidRDefault="00695127" w:rsidP="00695127">
      <w:pPr>
        <w:spacing w:after="0" w:line="240" w:lineRule="auto"/>
        <w:ind w:left="708" w:right="-720" w:hanging="708"/>
        <w:jc w:val="center"/>
        <w:rPr>
          <w:rFonts w:ascii="Arial Narrow" w:eastAsia="Calibri" w:hAnsi="Arial Narrow" w:cs="Arial"/>
          <w:b/>
          <w:bCs/>
          <w:sz w:val="24"/>
          <w:szCs w:val="24"/>
          <w:lang w:eastAsia="es-CO"/>
        </w:rPr>
      </w:pPr>
    </w:p>
    <w:p w:rsidR="0037305B" w:rsidRPr="00AE1934" w:rsidRDefault="0037305B" w:rsidP="00695127">
      <w:pPr>
        <w:spacing w:after="0" w:line="240" w:lineRule="auto"/>
        <w:ind w:left="708" w:right="-720" w:hanging="708"/>
        <w:jc w:val="center"/>
        <w:rPr>
          <w:rFonts w:ascii="Arial Narrow" w:eastAsia="Calibri" w:hAnsi="Arial Narrow" w:cs="Arial"/>
          <w:b/>
          <w:bCs/>
          <w:sz w:val="24"/>
          <w:szCs w:val="24"/>
          <w:lang w:eastAsia="es-CO"/>
        </w:rPr>
      </w:pPr>
      <w:r w:rsidRPr="00AE1934">
        <w:rPr>
          <w:rFonts w:ascii="Arial Narrow" w:eastAsia="Calibri" w:hAnsi="Arial Narrow" w:cs="Arial"/>
          <w:b/>
          <w:bCs/>
          <w:sz w:val="24"/>
          <w:szCs w:val="24"/>
          <w:lang w:eastAsia="es-CO"/>
        </w:rPr>
        <w:t>CONVOCATORIA PROCESO DE SELECCIÓN DE PROYECTOS DE VIP</w:t>
      </w:r>
    </w:p>
    <w:p w:rsidR="0037305B" w:rsidRPr="00AE1934" w:rsidRDefault="00853B45" w:rsidP="00695127">
      <w:pPr>
        <w:spacing w:after="0" w:line="240" w:lineRule="auto"/>
        <w:ind w:left="708" w:right="-720" w:hanging="708"/>
        <w:jc w:val="center"/>
        <w:rPr>
          <w:rFonts w:ascii="Arial Narrow" w:eastAsia="Calibri" w:hAnsi="Arial Narrow" w:cs="Arial"/>
          <w:b/>
          <w:bCs/>
          <w:sz w:val="24"/>
          <w:szCs w:val="24"/>
          <w:lang w:eastAsia="es-CO"/>
        </w:rPr>
      </w:pPr>
      <w:r w:rsidRPr="00AE1934">
        <w:rPr>
          <w:rFonts w:ascii="Arial Narrow" w:eastAsia="Calibri" w:hAnsi="Arial Narrow" w:cs="Arial"/>
          <w:b/>
          <w:bCs/>
          <w:sz w:val="24"/>
          <w:szCs w:val="24"/>
          <w:lang w:eastAsia="es-CO"/>
        </w:rPr>
        <w:t>DEPARTAMENTO DE SUCRE.</w:t>
      </w:r>
    </w:p>
    <w:p w:rsidR="0037305B" w:rsidRPr="00AE1934" w:rsidRDefault="0037305B" w:rsidP="00695127">
      <w:pPr>
        <w:spacing w:after="0" w:line="240" w:lineRule="auto"/>
        <w:ind w:left="708" w:right="-720" w:hanging="708"/>
        <w:jc w:val="center"/>
        <w:rPr>
          <w:rFonts w:ascii="Arial Narrow" w:hAnsi="Arial Narrow" w:cs="Arial"/>
          <w:b/>
          <w:sz w:val="24"/>
          <w:szCs w:val="24"/>
        </w:rPr>
      </w:pPr>
    </w:p>
    <w:p w:rsidR="0037305B" w:rsidRPr="00AE1934" w:rsidRDefault="0037305B" w:rsidP="0037305B">
      <w:pPr>
        <w:rPr>
          <w:rFonts w:ascii="Arial Narrow" w:hAnsi="Arial Narrow" w:cs="Arial"/>
          <w:b/>
          <w:sz w:val="24"/>
          <w:szCs w:val="24"/>
        </w:rPr>
      </w:pPr>
      <w:r w:rsidRPr="00AE1934">
        <w:rPr>
          <w:rFonts w:ascii="Arial Narrow" w:hAnsi="Arial Narrow" w:cs="Arial"/>
          <w:b/>
          <w:sz w:val="24"/>
          <w:szCs w:val="24"/>
        </w:rPr>
        <w:t xml:space="preserve">OBJETO DEL PROCESO DE SELECCIÓN: </w:t>
      </w:r>
    </w:p>
    <w:p w:rsidR="000C0F89" w:rsidRPr="00AE1934" w:rsidRDefault="0037305B" w:rsidP="007B253F">
      <w:pPr>
        <w:jc w:val="both"/>
        <w:rPr>
          <w:rFonts w:ascii="Arial Narrow" w:hAnsi="Arial Narrow" w:cs="Arial"/>
          <w:sz w:val="24"/>
          <w:szCs w:val="24"/>
        </w:rPr>
      </w:pPr>
      <w:r w:rsidRPr="00AE1934">
        <w:rPr>
          <w:rFonts w:ascii="Arial Narrow" w:hAnsi="Arial Narrow" w:cs="Arial"/>
          <w:sz w:val="24"/>
          <w:szCs w:val="24"/>
        </w:rPr>
        <w:t xml:space="preserve">El objeto del presente proceso es seleccionar los proyectos que cuenten como mínimo con las condiciones y requerimientos señalados en este documento y sus anexos, con el fin de cofinanciar la adquisición de las viviendas que resulten de los mismos, por parte de los beneficiarios del PROGRAMA DE VIVIENDA DE INTERÉS PRIORITARIO PARA AHORRADORES. </w:t>
      </w:r>
      <w:r w:rsidRPr="00AE1934">
        <w:rPr>
          <w:rFonts w:ascii="Arial Narrow" w:hAnsi="Arial Narrow" w:cs="Arial"/>
          <w:sz w:val="24"/>
          <w:szCs w:val="24"/>
        </w:rPr>
        <w:cr/>
      </w:r>
    </w:p>
    <w:p w:rsidR="00383F42" w:rsidRPr="00AE1934" w:rsidRDefault="000C0F89" w:rsidP="00853B45">
      <w:pPr>
        <w:spacing w:after="0" w:line="240" w:lineRule="auto"/>
        <w:jc w:val="both"/>
        <w:rPr>
          <w:rFonts w:ascii="Arial Narrow" w:hAnsi="Arial Narrow" w:cs="Arial"/>
          <w:sz w:val="24"/>
          <w:szCs w:val="24"/>
        </w:rPr>
      </w:pPr>
      <w:r w:rsidRPr="00AE1934">
        <w:rPr>
          <w:rFonts w:ascii="Arial Narrow" w:hAnsi="Arial Narrow" w:cs="Arial"/>
          <w:sz w:val="24"/>
          <w:szCs w:val="24"/>
        </w:rPr>
        <w:t>Como quiera que el proceso de selección de la refe</w:t>
      </w:r>
      <w:r w:rsidR="00853B45" w:rsidRPr="00AE1934">
        <w:rPr>
          <w:rFonts w:ascii="Arial Narrow" w:hAnsi="Arial Narrow" w:cs="Arial"/>
          <w:sz w:val="24"/>
          <w:szCs w:val="24"/>
        </w:rPr>
        <w:t>rencia se suspendió el pasado 15</w:t>
      </w:r>
      <w:r w:rsidRPr="00AE1934">
        <w:rPr>
          <w:rFonts w:ascii="Arial Narrow" w:hAnsi="Arial Narrow" w:cs="Arial"/>
          <w:sz w:val="24"/>
          <w:szCs w:val="24"/>
        </w:rPr>
        <w:t xml:space="preserve"> de enero </w:t>
      </w:r>
      <w:r w:rsidR="009113AC" w:rsidRPr="00AE1934">
        <w:rPr>
          <w:rFonts w:ascii="Arial Narrow" w:hAnsi="Arial Narrow" w:cs="Arial"/>
          <w:sz w:val="24"/>
          <w:szCs w:val="24"/>
        </w:rPr>
        <w:t>de 2014</w:t>
      </w:r>
      <w:r w:rsidR="006B1041" w:rsidRPr="00AE1934">
        <w:rPr>
          <w:rFonts w:ascii="Arial Narrow" w:hAnsi="Arial Narrow" w:cs="Arial"/>
          <w:sz w:val="24"/>
          <w:szCs w:val="24"/>
        </w:rPr>
        <w:t xml:space="preserve"> en cumplimiento de del fallo de la acción de tutela No. 2013-00629-00 proferido el día 15 de enero de 2014 por parte del JUZGADO PRIMERO PROMISCUO DE FAMILIA DE SINCELEJO, SUCRE, teniendo en cuenta que FINDETER </w:t>
      </w:r>
      <w:r w:rsidR="00383F42" w:rsidRPr="00AE1934">
        <w:rPr>
          <w:rFonts w:ascii="Arial Narrow" w:hAnsi="Arial Narrow" w:cs="Arial"/>
          <w:sz w:val="24"/>
          <w:szCs w:val="24"/>
        </w:rPr>
        <w:t xml:space="preserve">en cumplimiento de la orden judicial </w:t>
      </w:r>
      <w:r w:rsidR="00E17AB0" w:rsidRPr="00AE1934">
        <w:rPr>
          <w:rFonts w:ascii="Arial Narrow" w:hAnsi="Arial Narrow" w:cs="Arial"/>
          <w:sz w:val="24"/>
          <w:szCs w:val="24"/>
        </w:rPr>
        <w:t xml:space="preserve">realizó la revisión de los requisitos habilitantes </w:t>
      </w:r>
      <w:r w:rsidR="004B3C7C" w:rsidRPr="00AE1934">
        <w:rPr>
          <w:rFonts w:ascii="Arial Narrow" w:hAnsi="Arial Narrow" w:cs="Arial"/>
          <w:sz w:val="24"/>
          <w:szCs w:val="24"/>
        </w:rPr>
        <w:t xml:space="preserve">y </w:t>
      </w:r>
      <w:r w:rsidR="003F05B2" w:rsidRPr="00AE1934">
        <w:rPr>
          <w:rFonts w:ascii="Arial Narrow" w:hAnsi="Arial Narrow" w:cs="Arial"/>
          <w:sz w:val="24"/>
          <w:szCs w:val="24"/>
        </w:rPr>
        <w:t xml:space="preserve">solicitó la reactivación del proceso estableciendo que </w:t>
      </w:r>
      <w:r w:rsidR="004B3C7C" w:rsidRPr="00AE1934">
        <w:rPr>
          <w:rFonts w:ascii="Arial Narrow" w:hAnsi="Arial Narrow" w:cs="Arial"/>
          <w:sz w:val="24"/>
          <w:szCs w:val="24"/>
        </w:rPr>
        <w:t xml:space="preserve">el informe </w:t>
      </w:r>
      <w:r w:rsidR="003F05B2" w:rsidRPr="00AE1934">
        <w:rPr>
          <w:rFonts w:ascii="Arial Narrow" w:hAnsi="Arial Narrow" w:cs="Arial"/>
          <w:sz w:val="24"/>
          <w:szCs w:val="24"/>
        </w:rPr>
        <w:t xml:space="preserve">de evaluación </w:t>
      </w:r>
      <w:r w:rsidR="004B3C7C" w:rsidRPr="00AE1934">
        <w:rPr>
          <w:rFonts w:ascii="Arial Narrow" w:hAnsi="Arial Narrow" w:cs="Arial"/>
          <w:sz w:val="24"/>
          <w:szCs w:val="24"/>
        </w:rPr>
        <w:t>será remitido el próximo 3 de marzo</w:t>
      </w:r>
      <w:r w:rsidR="003F05B2" w:rsidRPr="00AE1934">
        <w:rPr>
          <w:rFonts w:ascii="Arial Narrow" w:hAnsi="Arial Narrow" w:cs="Arial"/>
          <w:sz w:val="24"/>
          <w:szCs w:val="24"/>
        </w:rPr>
        <w:t xml:space="preserve">, </w:t>
      </w:r>
      <w:r w:rsidR="00383F42" w:rsidRPr="00AE1934">
        <w:rPr>
          <w:rFonts w:ascii="Arial Narrow" w:hAnsi="Arial Narrow" w:cs="Arial"/>
          <w:sz w:val="24"/>
          <w:szCs w:val="24"/>
        </w:rPr>
        <w:t xml:space="preserve">con el fin de finalizar la etapa de habilitación de los proponentes </w:t>
      </w:r>
      <w:r w:rsidR="003F05B2" w:rsidRPr="00AE1934">
        <w:rPr>
          <w:rFonts w:ascii="Arial Narrow" w:hAnsi="Arial Narrow" w:cs="Arial"/>
          <w:sz w:val="24"/>
          <w:szCs w:val="24"/>
        </w:rPr>
        <w:t xml:space="preserve">así como </w:t>
      </w:r>
      <w:r w:rsidR="00383F42" w:rsidRPr="00AE1934">
        <w:rPr>
          <w:rFonts w:ascii="Arial Narrow" w:hAnsi="Arial Narrow" w:cs="Arial"/>
          <w:sz w:val="24"/>
          <w:szCs w:val="24"/>
        </w:rPr>
        <w:t xml:space="preserve">garantizar el cumplimiento de los principios de publicidad yel debido proceso, es necesario reactivar el proceso de selección, el cual se </w:t>
      </w:r>
      <w:r w:rsidR="003F05B2" w:rsidRPr="00AE1934">
        <w:rPr>
          <w:rFonts w:ascii="Arial Narrow" w:hAnsi="Arial Narrow" w:cs="Arial"/>
          <w:sz w:val="24"/>
          <w:szCs w:val="24"/>
        </w:rPr>
        <w:t>modificará según se establece a continuación</w:t>
      </w:r>
      <w:r w:rsidR="00383F42" w:rsidRPr="00AE1934">
        <w:rPr>
          <w:rFonts w:ascii="Arial Narrow" w:hAnsi="Arial Narrow" w:cs="Arial"/>
          <w:sz w:val="24"/>
          <w:szCs w:val="24"/>
        </w:rPr>
        <w:t>:</w:t>
      </w:r>
    </w:p>
    <w:p w:rsidR="00383F42" w:rsidRPr="00AE1934" w:rsidRDefault="00383F42" w:rsidP="00853B45">
      <w:pPr>
        <w:spacing w:after="0" w:line="240" w:lineRule="auto"/>
        <w:jc w:val="both"/>
        <w:rPr>
          <w:rFonts w:ascii="Arial Narrow" w:hAnsi="Arial Narrow" w:cs="Arial"/>
          <w:sz w:val="24"/>
          <w:szCs w:val="24"/>
        </w:rPr>
      </w:pPr>
    </w:p>
    <w:p w:rsidR="003F05B2" w:rsidRPr="00AE1934" w:rsidRDefault="003F05B2" w:rsidP="00853B45">
      <w:pPr>
        <w:spacing w:after="0" w:line="240" w:lineRule="auto"/>
        <w:jc w:val="both"/>
        <w:rPr>
          <w:rFonts w:ascii="Arial Narrow" w:hAnsi="Arial Narrow" w:cs="Arial"/>
          <w:sz w:val="24"/>
          <w:szCs w:val="24"/>
        </w:rPr>
      </w:pPr>
      <w:r w:rsidRPr="00AE1934">
        <w:rPr>
          <w:rFonts w:ascii="Arial Narrow" w:hAnsi="Arial Narrow" w:cs="Arial"/>
          <w:sz w:val="24"/>
          <w:szCs w:val="24"/>
        </w:rPr>
        <w:t>2.1 CRONOGRAMA DEL PROCESO DE SELECCIÓN</w:t>
      </w:r>
    </w:p>
    <w:p w:rsidR="00383F42" w:rsidRPr="00AE1934" w:rsidRDefault="00383F42" w:rsidP="00853B45">
      <w:pPr>
        <w:spacing w:after="0" w:line="240" w:lineRule="auto"/>
        <w:jc w:val="both"/>
        <w:rPr>
          <w:rFonts w:ascii="Arial Narrow" w:hAnsi="Arial Narrow" w:cs="Arial"/>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2693"/>
        <w:gridCol w:w="3402"/>
      </w:tblGrid>
      <w:tr w:rsidR="00383F42" w:rsidRPr="00AE1934" w:rsidTr="007E45F4">
        <w:trPr>
          <w:cantSplit/>
        </w:trPr>
        <w:tc>
          <w:tcPr>
            <w:tcW w:w="3614" w:type="dxa"/>
            <w:shd w:val="clear" w:color="auto" w:fill="CCFFFF"/>
          </w:tcPr>
          <w:p w:rsidR="00383F42" w:rsidRPr="00AE1934" w:rsidRDefault="00383F42" w:rsidP="007E45F4">
            <w:pPr>
              <w:spacing w:after="0" w:line="240" w:lineRule="auto"/>
              <w:jc w:val="center"/>
              <w:rPr>
                <w:rFonts w:ascii="Arial Narrow" w:eastAsia="Calibri" w:hAnsi="Arial Narrow" w:cs="Arial"/>
                <w:sz w:val="24"/>
                <w:szCs w:val="24"/>
                <w:lang w:eastAsia="es-CO"/>
              </w:rPr>
            </w:pPr>
            <w:r w:rsidRPr="00AE1934">
              <w:rPr>
                <w:rFonts w:ascii="Arial Narrow" w:hAnsi="Arial Narrow" w:cs="Arial"/>
                <w:sz w:val="24"/>
                <w:szCs w:val="24"/>
              </w:rPr>
              <w:cr/>
            </w:r>
            <w:r w:rsidRPr="00AE1934">
              <w:rPr>
                <w:rFonts w:ascii="Arial Narrow" w:eastAsia="Calibri" w:hAnsi="Arial Narrow" w:cs="Arial"/>
                <w:sz w:val="24"/>
                <w:szCs w:val="24"/>
                <w:lang w:eastAsia="es-CO"/>
              </w:rPr>
              <w:t>ACTIVIDAD</w:t>
            </w:r>
          </w:p>
        </w:tc>
        <w:tc>
          <w:tcPr>
            <w:tcW w:w="2693" w:type="dxa"/>
            <w:shd w:val="clear" w:color="auto" w:fill="CCFFFF"/>
          </w:tcPr>
          <w:p w:rsidR="00383F42" w:rsidRPr="00AE1934" w:rsidRDefault="00383F42" w:rsidP="007E45F4">
            <w:pPr>
              <w:spacing w:after="0" w:line="240" w:lineRule="auto"/>
              <w:jc w:val="center"/>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FECHA Y HORA</w:t>
            </w:r>
          </w:p>
        </w:tc>
        <w:tc>
          <w:tcPr>
            <w:tcW w:w="3402" w:type="dxa"/>
            <w:shd w:val="clear" w:color="auto" w:fill="CCFFFF"/>
          </w:tcPr>
          <w:p w:rsidR="00383F42" w:rsidRPr="00AE1934" w:rsidRDefault="00383F42" w:rsidP="007E45F4">
            <w:pPr>
              <w:spacing w:after="0" w:line="240" w:lineRule="auto"/>
              <w:jc w:val="center"/>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LUGAR</w:t>
            </w: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Traslado de las evaluaciones de los requisitos habilitantes a los proponentes. </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04 al 06  de marzo de 2014</w:t>
            </w:r>
          </w:p>
        </w:tc>
        <w:tc>
          <w:tcPr>
            <w:tcW w:w="3402"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En la Página WEB </w:t>
            </w:r>
          </w:p>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www.fidubogota.com</w:t>
            </w: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Publicación de la respuesta a las observaciones presentadas por los proponentes frente a la evaluación de los requisitos habilitantes</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10 de marzo de 2014</w:t>
            </w:r>
          </w:p>
        </w:tc>
        <w:tc>
          <w:tcPr>
            <w:tcW w:w="3402"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En la Página WEB </w:t>
            </w:r>
          </w:p>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www.fidubogota.com</w:t>
            </w: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Período de evaluación de los proyectos de vivienda ofertados por el proponente, si es el caso. </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11 al 14  de marzo  de 2014</w:t>
            </w:r>
          </w:p>
        </w:tc>
        <w:tc>
          <w:tcPr>
            <w:tcW w:w="3402" w:type="dxa"/>
          </w:tcPr>
          <w:p w:rsidR="00383F42" w:rsidRPr="00AE1934" w:rsidRDefault="00383F42" w:rsidP="007E45F4">
            <w:pPr>
              <w:spacing w:after="0" w:line="240" w:lineRule="auto"/>
              <w:jc w:val="both"/>
              <w:rPr>
                <w:rFonts w:ascii="Arial Narrow" w:eastAsia="Calibri" w:hAnsi="Arial Narrow" w:cs="Arial"/>
                <w:sz w:val="24"/>
                <w:szCs w:val="24"/>
                <w:lang w:eastAsia="es-CO"/>
              </w:rPr>
            </w:pP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Traslado de las evaluaciones de los proyectos ofertados por los proponentes y de la propuesta económica presentada los proponentes, si es el caso.</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17 al 19 de marzo de 2014</w:t>
            </w:r>
          </w:p>
        </w:tc>
        <w:tc>
          <w:tcPr>
            <w:tcW w:w="3402"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En la Página WEB </w:t>
            </w:r>
          </w:p>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www.fidubogota.com</w:t>
            </w: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Publicación de la respuesta a las observaciones presentadas por los proponentes</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21 de marzo de 2014</w:t>
            </w:r>
          </w:p>
        </w:tc>
        <w:tc>
          <w:tcPr>
            <w:tcW w:w="3402"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En la Página WEB</w:t>
            </w:r>
          </w:p>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www.fidubogota.com </w:t>
            </w: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lastRenderedPageBreak/>
              <w:t xml:space="preserve">Publicación del acta con los proyectos habilitados y si no hay lugar a diligencia de sorteo se seleccionarán los proyectos en la misma acta.  </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 25 de marzo de 2014 </w:t>
            </w:r>
          </w:p>
        </w:tc>
        <w:tc>
          <w:tcPr>
            <w:tcW w:w="3402"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En la Página WEB </w:t>
            </w:r>
          </w:p>
          <w:p w:rsidR="00383F42" w:rsidRPr="00AE1934" w:rsidRDefault="007E2076" w:rsidP="007E45F4">
            <w:pPr>
              <w:spacing w:after="0" w:line="240" w:lineRule="auto"/>
              <w:jc w:val="both"/>
              <w:rPr>
                <w:rFonts w:ascii="Arial Narrow" w:eastAsia="Calibri" w:hAnsi="Arial Narrow" w:cs="Arial"/>
                <w:sz w:val="24"/>
                <w:szCs w:val="24"/>
                <w:lang w:eastAsia="es-CO"/>
              </w:rPr>
            </w:pPr>
            <w:hyperlink r:id="rId4" w:history="1">
              <w:r w:rsidR="00383F42" w:rsidRPr="00AE1934">
                <w:rPr>
                  <w:rFonts w:ascii="Arial Narrow" w:eastAsia="Calibri" w:hAnsi="Arial Narrow" w:cs="Arial"/>
                  <w:color w:val="0000FF"/>
                  <w:sz w:val="24"/>
                  <w:szCs w:val="24"/>
                  <w:u w:val="single"/>
                  <w:lang w:eastAsia="es-CO"/>
                </w:rPr>
                <w:t>www.fidubogota.com</w:t>
              </w:r>
            </w:hyperlink>
          </w:p>
          <w:p w:rsidR="00383F42" w:rsidRPr="00AE1934" w:rsidRDefault="00383F42" w:rsidP="007E45F4">
            <w:pPr>
              <w:spacing w:after="0" w:line="240" w:lineRule="auto"/>
              <w:jc w:val="both"/>
              <w:rPr>
                <w:rFonts w:ascii="Arial Narrow" w:eastAsia="Calibri" w:hAnsi="Arial Narrow" w:cs="Arial"/>
                <w:sz w:val="24"/>
                <w:szCs w:val="24"/>
                <w:lang w:eastAsia="es-CO"/>
              </w:rPr>
            </w:pPr>
          </w:p>
          <w:p w:rsidR="00383F42" w:rsidRPr="00AE1934" w:rsidRDefault="00383F42" w:rsidP="007E45F4">
            <w:pPr>
              <w:spacing w:after="0" w:line="240" w:lineRule="auto"/>
              <w:jc w:val="both"/>
              <w:rPr>
                <w:rFonts w:ascii="Arial Narrow" w:eastAsia="Calibri" w:hAnsi="Arial Narrow" w:cs="Arial"/>
                <w:sz w:val="24"/>
                <w:szCs w:val="24"/>
                <w:lang w:eastAsia="es-CO"/>
              </w:rPr>
            </w:pPr>
          </w:p>
        </w:tc>
      </w:tr>
      <w:tr w:rsidR="00383F42" w:rsidRPr="00AE1934" w:rsidTr="007E45F4">
        <w:trPr>
          <w:cantSplit/>
        </w:trPr>
        <w:tc>
          <w:tcPr>
            <w:tcW w:w="3614" w:type="dxa"/>
          </w:tcPr>
          <w:p w:rsidR="00383F42" w:rsidRPr="00AE1934" w:rsidRDefault="00383F42" w:rsidP="007E45F4">
            <w:pPr>
              <w:spacing w:after="0" w:line="240" w:lineRule="auto"/>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 xml:space="preserve">Diligencia de Sorteo (Si aplica) </w:t>
            </w:r>
          </w:p>
        </w:tc>
        <w:tc>
          <w:tcPr>
            <w:tcW w:w="2693" w:type="dxa"/>
          </w:tcPr>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26 de marzo de 2014</w:t>
            </w:r>
          </w:p>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eastAsia="Calibri" w:hAnsi="Arial Narrow" w:cs="Arial"/>
                <w:sz w:val="24"/>
                <w:szCs w:val="24"/>
                <w:lang w:eastAsia="es-CO"/>
              </w:rPr>
              <w:t>9:00am</w:t>
            </w:r>
          </w:p>
        </w:tc>
        <w:tc>
          <w:tcPr>
            <w:tcW w:w="3402" w:type="dxa"/>
          </w:tcPr>
          <w:p w:rsidR="00383F42" w:rsidRPr="00AE1934" w:rsidRDefault="00383F42" w:rsidP="007E45F4">
            <w:pPr>
              <w:pStyle w:val="Default"/>
              <w:jc w:val="both"/>
              <w:rPr>
                <w:rFonts w:ascii="Arial Narrow" w:hAnsi="Arial Narrow"/>
                <w:color w:val="auto"/>
                <w:lang w:val="es-CO" w:eastAsia="es-CO"/>
              </w:rPr>
            </w:pPr>
            <w:r w:rsidRPr="00AE1934">
              <w:rPr>
                <w:rFonts w:ascii="Arial Narrow" w:hAnsi="Arial Narrow"/>
                <w:color w:val="auto"/>
                <w:lang w:val="es-CO" w:eastAsia="es-CO"/>
              </w:rPr>
              <w:t xml:space="preserve">FINDETER.  </w:t>
            </w:r>
          </w:p>
          <w:p w:rsidR="00383F42" w:rsidRPr="00AE1934" w:rsidRDefault="00383F42" w:rsidP="007E45F4">
            <w:pPr>
              <w:pStyle w:val="Default"/>
              <w:jc w:val="both"/>
              <w:rPr>
                <w:rFonts w:ascii="Arial Narrow" w:hAnsi="Arial Narrow"/>
                <w:color w:val="auto"/>
                <w:lang w:val="es-CO" w:eastAsia="es-CO"/>
              </w:rPr>
            </w:pPr>
            <w:r w:rsidRPr="00AE1934">
              <w:rPr>
                <w:rFonts w:ascii="Arial Narrow" w:hAnsi="Arial Narrow"/>
                <w:color w:val="auto"/>
                <w:lang w:val="es-CO" w:eastAsia="es-CO"/>
              </w:rPr>
              <w:t xml:space="preserve">Calle 103 # 19 - 20. </w:t>
            </w:r>
          </w:p>
          <w:p w:rsidR="00383F42" w:rsidRPr="00AE1934" w:rsidRDefault="00383F42" w:rsidP="007E45F4">
            <w:pPr>
              <w:spacing w:after="0" w:line="240" w:lineRule="auto"/>
              <w:jc w:val="both"/>
              <w:rPr>
                <w:rFonts w:ascii="Arial Narrow" w:eastAsia="Calibri" w:hAnsi="Arial Narrow" w:cs="Arial"/>
                <w:sz w:val="24"/>
                <w:szCs w:val="24"/>
                <w:lang w:eastAsia="es-CO"/>
              </w:rPr>
            </w:pPr>
            <w:r w:rsidRPr="00AE1934">
              <w:rPr>
                <w:rFonts w:ascii="Arial Narrow" w:hAnsi="Arial Narrow"/>
              </w:rPr>
              <w:t>Bogotá D.C</w:t>
            </w:r>
          </w:p>
        </w:tc>
      </w:tr>
    </w:tbl>
    <w:p w:rsidR="00383F42" w:rsidRPr="00AE1934" w:rsidRDefault="00383F42" w:rsidP="00853B45">
      <w:pPr>
        <w:spacing w:after="0" w:line="240" w:lineRule="auto"/>
        <w:jc w:val="both"/>
        <w:rPr>
          <w:rFonts w:ascii="Arial Narrow" w:hAnsi="Arial Narrow" w:cs="Arial"/>
          <w:sz w:val="24"/>
          <w:szCs w:val="24"/>
        </w:rPr>
      </w:pPr>
    </w:p>
    <w:p w:rsidR="000C0F89" w:rsidRPr="00AE1934" w:rsidRDefault="000C0F89" w:rsidP="00853B45">
      <w:pPr>
        <w:spacing w:after="0" w:line="240" w:lineRule="auto"/>
        <w:jc w:val="both"/>
        <w:rPr>
          <w:rFonts w:ascii="Arial Narrow" w:hAnsi="Arial Narrow" w:cs="Arial"/>
          <w:sz w:val="24"/>
          <w:szCs w:val="24"/>
        </w:rPr>
      </w:pPr>
    </w:p>
    <w:p w:rsidR="00695127" w:rsidRPr="00AE1934" w:rsidRDefault="00695127" w:rsidP="007B253F">
      <w:pPr>
        <w:jc w:val="both"/>
        <w:rPr>
          <w:rFonts w:ascii="Arial Narrow" w:hAnsi="Arial Narrow" w:cs="Arial"/>
          <w:sz w:val="24"/>
          <w:szCs w:val="24"/>
          <w:shd w:val="clear" w:color="auto" w:fill="FFFF00"/>
        </w:rPr>
      </w:pPr>
      <w:r w:rsidRPr="00AE1934">
        <w:rPr>
          <w:rFonts w:ascii="Arial Narrow" w:hAnsi="Arial Narrow" w:cs="Arial"/>
          <w:bCs/>
          <w:sz w:val="24"/>
          <w:szCs w:val="24"/>
          <w:lang w:val="es-ES"/>
        </w:rPr>
        <w:t xml:space="preserve">Para constancia, se expide a los  </w:t>
      </w:r>
      <w:r w:rsidR="003F05B2" w:rsidRPr="00AE1934">
        <w:rPr>
          <w:rFonts w:ascii="Arial Narrow" w:hAnsi="Arial Narrow" w:cs="Arial"/>
          <w:bCs/>
          <w:sz w:val="24"/>
          <w:szCs w:val="24"/>
          <w:lang w:val="es-ES"/>
        </w:rPr>
        <w:t>28</w:t>
      </w:r>
      <w:r w:rsidRPr="00AE1934">
        <w:rPr>
          <w:rFonts w:ascii="Arial Narrow" w:hAnsi="Arial Narrow" w:cs="Arial"/>
          <w:bCs/>
          <w:sz w:val="24"/>
          <w:szCs w:val="24"/>
          <w:lang w:val="es-ES"/>
        </w:rPr>
        <w:t xml:space="preserve"> días del mes de </w:t>
      </w:r>
      <w:r w:rsidR="003F05B2" w:rsidRPr="00AE1934">
        <w:rPr>
          <w:rFonts w:ascii="Arial Narrow" w:hAnsi="Arial Narrow" w:cs="Arial"/>
          <w:bCs/>
          <w:sz w:val="24"/>
          <w:szCs w:val="24"/>
          <w:lang w:val="es-ES"/>
        </w:rPr>
        <w:t>febrero</w:t>
      </w:r>
      <w:r w:rsidR="009113AC" w:rsidRPr="00AE1934">
        <w:rPr>
          <w:rFonts w:ascii="Arial Narrow" w:hAnsi="Arial Narrow" w:cs="Arial"/>
          <w:bCs/>
          <w:sz w:val="24"/>
          <w:szCs w:val="24"/>
          <w:lang w:val="es-ES"/>
        </w:rPr>
        <w:t xml:space="preserve"> de 2014</w:t>
      </w:r>
      <w:r w:rsidRPr="00AE1934">
        <w:rPr>
          <w:rFonts w:ascii="Arial Narrow" w:hAnsi="Arial Narrow" w:cs="Arial"/>
          <w:bCs/>
          <w:sz w:val="24"/>
          <w:szCs w:val="24"/>
          <w:lang w:val="es-ES"/>
        </w:rPr>
        <w:t xml:space="preserve">.  </w:t>
      </w:r>
    </w:p>
    <w:p w:rsidR="00695127" w:rsidRPr="00AE1934" w:rsidRDefault="00695127" w:rsidP="00695127">
      <w:pPr>
        <w:rPr>
          <w:rFonts w:ascii="Arial Narrow" w:hAnsi="Arial Narrow" w:cs="Arial"/>
          <w:sz w:val="24"/>
          <w:szCs w:val="24"/>
        </w:rPr>
      </w:pPr>
      <w:r w:rsidRPr="00AE1934">
        <w:rPr>
          <w:rFonts w:ascii="Arial Narrow" w:hAnsi="Arial Narrow" w:cs="Arial"/>
          <w:b/>
          <w:sz w:val="24"/>
          <w:szCs w:val="24"/>
        </w:rPr>
        <w:t>FIDUCIARIA BOGOTA</w:t>
      </w:r>
      <w:r w:rsidRPr="00AE1934">
        <w:rPr>
          <w:rFonts w:ascii="Arial Narrow" w:hAnsi="Arial Narrow" w:cs="Arial"/>
          <w:sz w:val="24"/>
          <w:szCs w:val="24"/>
        </w:rPr>
        <w:t xml:space="preserve"> Como Vocera del Fideicomiso PROGRAMA DE VIVIENDA DE INTERÉS PRIORITARIO PARA AHORRADORES. </w:t>
      </w:r>
    </w:p>
    <w:p w:rsidR="00695127" w:rsidRPr="00AE1934" w:rsidRDefault="00695127" w:rsidP="00695127">
      <w:pPr>
        <w:jc w:val="both"/>
        <w:rPr>
          <w:rFonts w:ascii="Arial Narrow" w:hAnsi="Arial Narrow" w:cs="Arial"/>
          <w:sz w:val="24"/>
          <w:szCs w:val="24"/>
        </w:rPr>
      </w:pPr>
    </w:p>
    <w:p w:rsidR="00695127" w:rsidRPr="00AE1934" w:rsidRDefault="00695127" w:rsidP="00695127">
      <w:pPr>
        <w:jc w:val="both"/>
        <w:rPr>
          <w:rFonts w:ascii="Arial Narrow" w:hAnsi="Arial Narrow" w:cs="Arial"/>
          <w:sz w:val="24"/>
          <w:szCs w:val="24"/>
        </w:rPr>
      </w:pPr>
    </w:p>
    <w:p w:rsidR="00695127" w:rsidRPr="00AE1934" w:rsidRDefault="00695127" w:rsidP="00695127">
      <w:pPr>
        <w:jc w:val="both"/>
        <w:rPr>
          <w:rFonts w:ascii="Arial Narrow" w:hAnsi="Arial Narrow" w:cs="Arial"/>
          <w:sz w:val="24"/>
          <w:szCs w:val="24"/>
        </w:rPr>
      </w:pPr>
    </w:p>
    <w:sectPr w:rsidR="00695127" w:rsidRPr="00AE1934" w:rsidSect="003153EC">
      <w:pgSz w:w="12240" w:h="15840"/>
      <w:pgMar w:top="993"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305B"/>
    <w:rsid w:val="000C0F89"/>
    <w:rsid w:val="002231FE"/>
    <w:rsid w:val="003153EC"/>
    <w:rsid w:val="0037305B"/>
    <w:rsid w:val="00383F42"/>
    <w:rsid w:val="003F05B2"/>
    <w:rsid w:val="004433D9"/>
    <w:rsid w:val="004A0A36"/>
    <w:rsid w:val="004B3C7C"/>
    <w:rsid w:val="00531784"/>
    <w:rsid w:val="00560AB6"/>
    <w:rsid w:val="00591991"/>
    <w:rsid w:val="00626F71"/>
    <w:rsid w:val="0064538F"/>
    <w:rsid w:val="00695127"/>
    <w:rsid w:val="006B1041"/>
    <w:rsid w:val="00710A54"/>
    <w:rsid w:val="007B253F"/>
    <w:rsid w:val="007C23B7"/>
    <w:rsid w:val="007E2076"/>
    <w:rsid w:val="007E5FC2"/>
    <w:rsid w:val="00853B45"/>
    <w:rsid w:val="00894533"/>
    <w:rsid w:val="009113AC"/>
    <w:rsid w:val="00AE1934"/>
    <w:rsid w:val="00B03A58"/>
    <w:rsid w:val="00C35AAD"/>
    <w:rsid w:val="00CB7E9C"/>
    <w:rsid w:val="00D56CE5"/>
    <w:rsid w:val="00E17AB0"/>
    <w:rsid w:val="00EA546F"/>
    <w:rsid w:val="00F02924"/>
    <w:rsid w:val="00F41C5F"/>
    <w:rsid w:val="00FA291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305B"/>
    <w:pPr>
      <w:spacing w:after="0" w:line="240" w:lineRule="auto"/>
    </w:pPr>
  </w:style>
  <w:style w:type="paragraph" w:styleId="Textodeglobo">
    <w:name w:val="Balloon Text"/>
    <w:basedOn w:val="Normal"/>
    <w:link w:val="TextodegloboCar"/>
    <w:uiPriority w:val="99"/>
    <w:semiHidden/>
    <w:unhideWhenUsed/>
    <w:rsid w:val="008945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533"/>
    <w:rPr>
      <w:rFonts w:ascii="Tahoma" w:hAnsi="Tahoma" w:cs="Tahoma"/>
      <w:sz w:val="16"/>
      <w:szCs w:val="16"/>
    </w:rPr>
  </w:style>
  <w:style w:type="paragraph" w:customStyle="1" w:styleId="Default">
    <w:name w:val="Default"/>
    <w:rsid w:val="00710A54"/>
    <w:pPr>
      <w:widowControl w:val="0"/>
      <w:autoSpaceDE w:val="0"/>
      <w:autoSpaceDN w:val="0"/>
      <w:adjustRightInd w:val="0"/>
      <w:spacing w:after="0" w:line="240" w:lineRule="auto"/>
    </w:pPr>
    <w:rPr>
      <w:rFonts w:ascii="Arial" w:eastAsia="Calibri"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305B"/>
    <w:pPr>
      <w:spacing w:after="0" w:line="240" w:lineRule="auto"/>
    </w:pPr>
  </w:style>
  <w:style w:type="paragraph" w:styleId="Textodeglobo">
    <w:name w:val="Balloon Text"/>
    <w:basedOn w:val="Normal"/>
    <w:link w:val="TextodegloboCar"/>
    <w:uiPriority w:val="99"/>
    <w:semiHidden/>
    <w:unhideWhenUsed/>
    <w:rsid w:val="008945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533"/>
    <w:rPr>
      <w:rFonts w:ascii="Tahoma" w:hAnsi="Tahoma" w:cs="Tahoma"/>
      <w:sz w:val="16"/>
      <w:szCs w:val="16"/>
    </w:rPr>
  </w:style>
  <w:style w:type="paragraph" w:customStyle="1" w:styleId="Default">
    <w:name w:val="Default"/>
    <w:rsid w:val="00710A54"/>
    <w:pPr>
      <w:widowControl w:val="0"/>
      <w:autoSpaceDE w:val="0"/>
      <w:autoSpaceDN w:val="0"/>
      <w:adjustRightInd w:val="0"/>
      <w:spacing w:after="0" w:line="240" w:lineRule="auto"/>
    </w:pPr>
    <w:rPr>
      <w:rFonts w:ascii="Arial" w:eastAsia="Calibri"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229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dubogot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Eduardo Contreras Castro</dc:creator>
  <cp:lastModifiedBy>caponte</cp:lastModifiedBy>
  <cp:revision>2</cp:revision>
  <cp:lastPrinted>2014-02-28T22:07:00Z</cp:lastPrinted>
  <dcterms:created xsi:type="dcterms:W3CDTF">2014-03-01T00:22:00Z</dcterms:created>
  <dcterms:modified xsi:type="dcterms:W3CDTF">2014-03-01T00:22:00Z</dcterms:modified>
</cp:coreProperties>
</file>